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9" w:rsidRPr="00EA06A9" w:rsidRDefault="00B71CCD" w:rsidP="001F6F47">
      <w:pPr>
        <w:pStyle w:val="Heading1"/>
        <w:spacing w:before="0" w:line="240" w:lineRule="auto"/>
      </w:pPr>
      <w:r>
        <w:t xml:space="preserve">Terms, Groups/Organizations Related </w:t>
      </w:r>
      <w:r>
        <w:br/>
        <w:t>to the Struggle for Rights</w:t>
      </w:r>
    </w:p>
    <w:tbl>
      <w:tblPr>
        <w:tblStyle w:val="TableGrid"/>
        <w:tblW w:w="0" w:type="auto"/>
        <w:tblLayout w:type="fixed"/>
        <w:tblLook w:val="00BF"/>
      </w:tblPr>
      <w:tblGrid>
        <w:gridCol w:w="2088"/>
        <w:gridCol w:w="6300"/>
      </w:tblGrid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activist /activism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Activism refers to taking action. It means standing up and taking action for our beliefs. An</w:t>
            </w:r>
            <w:r w:rsidR="00873589">
              <w:t xml:space="preserve"> </w:t>
            </w:r>
            <w:r w:rsidRPr="00873589">
              <w:t>activist is a person who takes action to bring about change.</w:t>
            </w:r>
          </w:p>
          <w:p w:rsidR="00C550EC" w:rsidRPr="00873589" w:rsidRDefault="00C550EC" w:rsidP="00873589">
            <w:r w:rsidRPr="00873589">
              <w:t>An activist may fight for various social and political causes. Some common causes are racial</w:t>
            </w:r>
            <w:r w:rsidR="00873589">
              <w:t xml:space="preserve"> </w:t>
            </w:r>
            <w:r w:rsidRPr="00873589">
              <w:t>equality, low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income families and the plight of the homeless.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allegations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An allegation is a statement asserting something without proof.</w:t>
            </w:r>
          </w:p>
        </w:tc>
      </w:tr>
      <w:tr w:rsidR="00C550EC" w:rsidRPr="00873589" w:rsidTr="00873589">
        <w:trPr>
          <w:trHeight w:val="1826"/>
        </w:trPr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Board of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Governors of the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Canadian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Broadcasting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Corporation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C.B.C.)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From 1936 to 1958, the C.B.C. (Canadian Broadcasting Corporation) was headed by a board</w:t>
            </w:r>
            <w:r w:rsidR="00873589">
              <w:t xml:space="preserve"> </w:t>
            </w:r>
            <w:r w:rsidRPr="00873589">
              <w:t>of governors. In the beginning, it was made up of nine members representing the various</w:t>
            </w:r>
            <w:r w:rsidR="00873589">
              <w:t xml:space="preserve"> </w:t>
            </w:r>
            <w:r w:rsidRPr="00873589">
              <w:t>sections of Canada. Nellie McClung was the sole female on the first Board of Directors.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campaign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 political campaign refers to the organized effort of a political party to win an election.</w:t>
            </w:r>
          </w:p>
          <w:p w:rsidR="00C550EC" w:rsidRPr="00873589" w:rsidRDefault="00C550EC" w:rsidP="00873589">
            <w:r w:rsidRPr="00873589">
              <w:t>Parties and party members campaign to convince the electorate – the voters to vote for</w:t>
            </w:r>
            <w:r w:rsidR="00873589">
              <w:t xml:space="preserve"> </w:t>
            </w:r>
            <w:r w:rsidRPr="00873589">
              <w:t>their specific party and/or their ideas.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Canadian Senate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Upper House of the Canadian Parliament located in Ottawa; its members are appointed.</w:t>
            </w:r>
          </w:p>
          <w:p w:rsidR="00873589" w:rsidRDefault="00C550EC" w:rsidP="00873589">
            <w:r w:rsidRPr="00873589">
              <w:t>Women could not be appointed to the Canadian Senate until they were recognized as</w:t>
            </w:r>
            <w:r w:rsidR="00873589">
              <w:t xml:space="preserve"> </w:t>
            </w:r>
            <w:r w:rsidRPr="00873589">
              <w:t>“Persons” under Canadian Law in 1929 (The Person’s Case).</w:t>
            </w:r>
          </w:p>
          <w:p w:rsidR="00873589" w:rsidRDefault="00873589" w:rsidP="00873589"/>
          <w:p w:rsidR="00C550EC" w:rsidRPr="00873589" w:rsidRDefault="00C550EC" w:rsidP="00873589"/>
        </w:tc>
      </w:tr>
      <w:tr w:rsidR="00C550EC" w:rsidRPr="00873589" w:rsidTr="00873589">
        <w:trPr>
          <w:trHeight w:val="827"/>
        </w:trPr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Canadian Supreme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Court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Canadian Supreme Court is Canada’s highest court and is located in the capital city of</w:t>
            </w:r>
            <w:r w:rsidR="00873589">
              <w:t xml:space="preserve"> </w:t>
            </w:r>
            <w:r w:rsidRPr="00873589">
              <w:t>Ottawa. It is now the final court of appeal in Canada. Until 1949, the Judicial Committee of</w:t>
            </w:r>
            <w:r w:rsidR="00873589">
              <w:t xml:space="preserve"> </w:t>
            </w:r>
            <w:r w:rsidRPr="00873589">
              <w:t>the Privy Council in London was the final court of appeal for Canadians.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Canadian Women’s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Press Club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Winnipeg Branch founded in 1907, held weekly meetings. E. Cora Hind was the first</w:t>
            </w:r>
            <w:r w:rsidR="00873589">
              <w:t xml:space="preserve"> </w:t>
            </w:r>
            <w:r w:rsidRPr="00873589">
              <w:t xml:space="preserve">President, and other prominent Manitoban members were Lillian </w:t>
            </w:r>
            <w:proofErr w:type="spellStart"/>
            <w:r w:rsidRPr="00873589">
              <w:t>Beynon</w:t>
            </w:r>
            <w:proofErr w:type="spellEnd"/>
            <w:r w:rsidRPr="00873589">
              <w:t xml:space="preserve"> Thomas (first</w:t>
            </w:r>
            <w:r w:rsidR="00873589">
              <w:t xml:space="preserve"> </w:t>
            </w:r>
            <w:r w:rsidRPr="00873589">
              <w:t xml:space="preserve">Secretary), Nellie McClung, and Francis Marion </w:t>
            </w:r>
            <w:proofErr w:type="spellStart"/>
            <w:r w:rsidRPr="00873589">
              <w:t>Beynon</w:t>
            </w:r>
            <w:proofErr w:type="spellEnd"/>
            <w:r w:rsidRPr="00873589">
              <w:t>. The women were activists</w:t>
            </w:r>
            <w:r w:rsidR="00873589">
              <w:t xml:space="preserve"> </w:t>
            </w:r>
            <w:r w:rsidRPr="00873589">
              <w:t>wishing to bring about better conditions for women and children.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compensation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Compensation is usually something that is received in return for something else. Wages and</w:t>
            </w:r>
            <w:r w:rsidR="00873589">
              <w:t xml:space="preserve"> </w:t>
            </w:r>
            <w:r w:rsidRPr="00873589">
              <w:t xml:space="preserve">other financial benefits earned from </w:t>
            </w:r>
            <w:proofErr w:type="spellStart"/>
            <w:r w:rsidRPr="00873589">
              <w:t>labor</w:t>
            </w:r>
            <w:proofErr w:type="spellEnd"/>
            <w:r w:rsidRPr="00873589">
              <w:t>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constituency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In Canada, a constituency is a place or geographical area that is represented in the House of</w:t>
            </w:r>
            <w:r w:rsidR="00873589">
              <w:t xml:space="preserve"> </w:t>
            </w:r>
            <w:r w:rsidRPr="00873589">
              <w:t>Commons by a member of parliament, or in provincial and territory elections an area</w:t>
            </w:r>
            <w:r w:rsidR="00873589">
              <w:t xml:space="preserve"> </w:t>
            </w:r>
            <w:r w:rsidRPr="00873589">
              <w:t>represented by a member of the provincial or territory legislative assembly.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corruption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 xml:space="preserve">Corruption refers dishonest, evil or bad </w:t>
            </w:r>
            <w:proofErr w:type="spellStart"/>
            <w:r w:rsidRPr="00873589">
              <w:t>behavior</w:t>
            </w:r>
            <w:proofErr w:type="spellEnd"/>
            <w:r w:rsidRPr="00873589">
              <w:t>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delegation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 delegation is a small group of people who speak for the larger group.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election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An election refers to a time when people vote in order to choose someone for a political or</w:t>
            </w:r>
            <w:r w:rsidR="00873589">
              <w:t xml:space="preserve"> </w:t>
            </w:r>
            <w:r w:rsidRPr="00873589">
              <w:t>official job.</w:t>
            </w:r>
          </w:p>
        </w:tc>
      </w:tr>
      <w:tr w:rsidR="00C550EC" w:rsidRPr="00873589" w:rsidTr="00873589">
        <w:trPr>
          <w:trHeight w:val="980"/>
        </w:trPr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electorate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people who are allowed (have the right) to vote in an election.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enfranchisement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Gaining the right to vote.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Famous Five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 group of 5 women, Emily Murphy, Nellie McClung, Louise McKinney, Henrietta Muir</w:t>
            </w:r>
            <w:r w:rsidR="00873589">
              <w:t xml:space="preserve"> </w:t>
            </w:r>
            <w:r w:rsidRPr="00873589">
              <w:t xml:space="preserve">Edwards, Irene </w:t>
            </w:r>
            <w:proofErr w:type="spellStart"/>
            <w:r w:rsidRPr="00873589">
              <w:t>Parlby</w:t>
            </w:r>
            <w:proofErr w:type="spellEnd"/>
            <w:r w:rsidRPr="00873589">
              <w:t>, whose efforts led to Canadian women being regarded as Persons</w:t>
            </w:r>
            <w:r w:rsidR="00873589">
              <w:t xml:space="preserve"> </w:t>
            </w:r>
            <w:r w:rsidRPr="00873589">
              <w:t>under Canadian Law in 1928.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feminist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 person who believes in the social, political, and economic equality of the sexes.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House of</w:t>
            </w:r>
          </w:p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Commons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Lower House of the Canadian Parliament located in Ottawa; its members are elected.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Japanese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internment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camps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During times of war or crisis, a government may decide to force certain groups of</w:t>
            </w:r>
            <w:r w:rsidR="00873589">
              <w:t xml:space="preserve"> </w:t>
            </w:r>
            <w:r w:rsidRPr="00873589">
              <w:t>people who might be regarded as enemies to leave their homes and live in special</w:t>
            </w:r>
            <w:r w:rsidR="00873589">
              <w:t xml:space="preserve"> </w:t>
            </w:r>
            <w:r w:rsidRPr="00873589">
              <w:t>guarded areas. These areas have been referred to an interment camps. For</w:t>
            </w:r>
            <w:r w:rsidR="00873589">
              <w:t xml:space="preserve"> </w:t>
            </w:r>
            <w:r w:rsidRPr="00873589">
              <w:t>instance, in Canada during World War 11, thousands of Japanese Canadians were</w:t>
            </w:r>
            <w:r w:rsidR="00873589">
              <w:t xml:space="preserve"> </w:t>
            </w:r>
            <w:r w:rsidRPr="00873589">
              <w:t>forced to leave their homes and some were housed to live in Internment Camps.</w:t>
            </w:r>
          </w:p>
          <w:p w:rsidR="00C550EC" w:rsidRPr="00873589" w:rsidRDefault="00C550EC" w:rsidP="00873589">
            <w:r w:rsidRPr="00873589">
              <w:t>See ** below for more information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Judicial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Committee of the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British Privy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Council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Judicial Committee of the British Privy Council was Canada’s final court of appeal in</w:t>
            </w:r>
            <w:r w:rsidR="00873589">
              <w:t xml:space="preserve"> </w:t>
            </w:r>
            <w:r w:rsidRPr="00873589">
              <w:t>1929 and was located in England.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League of Nations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League of Nations was an international organization started after World War I to stop</w:t>
            </w:r>
            <w:r w:rsidR="00873589">
              <w:t xml:space="preserve"> </w:t>
            </w:r>
            <w:r w:rsidRPr="00873589">
              <w:t>countries going to war. It was replaced by the United Nations.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Legislature or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Legislative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Assembly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place where provincial laws are passed.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Member of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Parliament (MP)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An MP is a person elected to sit in the House of Commons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militant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 xml:space="preserve">Militant refers to being ready and willing to fight 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generally to support a cause.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MLA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Member of the Legislative Assembly (MLA) refers to a person elected to a provincial</w:t>
            </w:r>
            <w:r w:rsidR="00873589">
              <w:t xml:space="preserve"> </w:t>
            </w:r>
            <w:r w:rsidRPr="00873589">
              <w:t>government.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opposition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In government, the opposition refers to the Political Party or the elected people who oppose</w:t>
            </w:r>
            <w:r w:rsidR="00873589">
              <w:t xml:space="preserve"> </w:t>
            </w:r>
            <w:r w:rsidRPr="00873589">
              <w:t>the Government in Power. The Official Opposition is the party with the second largest</w:t>
            </w:r>
            <w:r w:rsidR="00873589">
              <w:t xml:space="preserve"> </w:t>
            </w:r>
            <w:r w:rsidRPr="00873589">
              <w:t>number of seats.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Persons Case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Court Case (1929) that decided that women in Canada were “persons” according to</w:t>
            </w:r>
            <w:r w:rsidR="00873589">
              <w:t xml:space="preserve"> </w:t>
            </w:r>
            <w:r w:rsidRPr="00873589">
              <w:t>Canadian law.</w:t>
            </w:r>
          </w:p>
          <w:p w:rsidR="00C550EC" w:rsidRPr="00873589" w:rsidRDefault="00C550EC" w:rsidP="00873589">
            <w:r w:rsidRPr="00873589">
              <w:t>For many years, Canadian women were not considered to be “persons” under the law. This</w:t>
            </w:r>
            <w:r w:rsidR="00873589">
              <w:t xml:space="preserve"> </w:t>
            </w:r>
            <w:r w:rsidRPr="00873589">
              <w:t>meant that women could not serve in the Canadian Senate. Some people also believed that,</w:t>
            </w:r>
            <w:r w:rsidR="00873589">
              <w:t xml:space="preserve"> </w:t>
            </w:r>
            <w:r w:rsidRPr="00873589">
              <w:t>if women were not “persons” under the law, they should not be judges.*</w:t>
            </w:r>
          </w:p>
          <w:p w:rsidR="00C550EC" w:rsidRPr="00873589" w:rsidRDefault="00C550EC" w:rsidP="00873589">
            <w:r w:rsidRPr="00873589">
              <w:t xml:space="preserve">In 1927, group of Canadian women, Emily Murphy, Nellie McClung, Irene </w:t>
            </w:r>
            <w:proofErr w:type="spellStart"/>
            <w:r w:rsidRPr="00873589">
              <w:t>Parlby</w:t>
            </w:r>
            <w:proofErr w:type="spellEnd"/>
            <w:r w:rsidRPr="00873589">
              <w:t xml:space="preserve">, </w:t>
            </w:r>
            <w:proofErr w:type="spellStart"/>
            <w:r w:rsidRPr="00873589">
              <w:t>Hennrietta</w:t>
            </w:r>
            <w:proofErr w:type="spellEnd"/>
            <w:r w:rsidR="00873589">
              <w:t xml:space="preserve"> </w:t>
            </w:r>
            <w:r w:rsidRPr="00873589">
              <w:t>Muir Edwards, Louise McKinney, decided that the law must be changed. They wrote to the</w:t>
            </w:r>
            <w:r w:rsidR="00873589">
              <w:t xml:space="preserve"> </w:t>
            </w:r>
            <w:r w:rsidRPr="00873589">
              <w:t xml:space="preserve">Supreme Court to ask if the word person included women. The Supreme Court replied </w:t>
            </w:r>
            <w:proofErr w:type="spellStart"/>
            <w:r w:rsidRPr="00873589">
              <w:t>that</w:t>
            </w:r>
            <w:proofErr w:type="spellEnd"/>
            <w:r w:rsidRPr="00873589">
              <w:t>,</w:t>
            </w:r>
            <w:r w:rsidR="00873589">
              <w:t xml:space="preserve"> </w:t>
            </w:r>
            <w:r w:rsidRPr="00873589">
              <w:t>under the law, it did not.</w:t>
            </w:r>
          </w:p>
          <w:p w:rsidR="00C550EC" w:rsidRPr="00873589" w:rsidRDefault="00C550EC" w:rsidP="00873589">
            <w:r w:rsidRPr="00873589">
              <w:t>Next, they contacted Canada’s highest Court of Appeals. That court was the Privy Council in</w:t>
            </w:r>
            <w:r w:rsidR="00873589">
              <w:t xml:space="preserve"> </w:t>
            </w:r>
            <w:r w:rsidRPr="00873589">
              <w:t>England. The Privy Council ruled that women were “persons”. The five women became</w:t>
            </w:r>
            <w:r w:rsidR="00873589">
              <w:t xml:space="preserve"> </w:t>
            </w:r>
            <w:r w:rsidRPr="00873589">
              <w:t>known as the Famous Five.</w:t>
            </w:r>
          </w:p>
          <w:p w:rsidR="00C550EC" w:rsidRPr="00873589" w:rsidRDefault="00C550EC" w:rsidP="00873589">
            <w:r w:rsidRPr="00873589">
              <w:t>* Emily Murphy was appointed a magistrate in Alberta in 1916. On her first day of court, a</w:t>
            </w:r>
            <w:r w:rsidR="00873589">
              <w:t xml:space="preserve"> </w:t>
            </w:r>
            <w:r w:rsidRPr="00873589">
              <w:t xml:space="preserve">lawyer, </w:t>
            </w:r>
            <w:proofErr w:type="spellStart"/>
            <w:r w:rsidRPr="00873589">
              <w:t>Eardley</w:t>
            </w:r>
            <w:proofErr w:type="spellEnd"/>
            <w:r w:rsidRPr="00873589">
              <w:t xml:space="preserve"> Jackson, challenged her position as a judge. He argued that women were</w:t>
            </w:r>
            <w:r w:rsidR="00873589">
              <w:t xml:space="preserve"> </w:t>
            </w:r>
            <w:r w:rsidRPr="00873589">
              <w:t>not "persons" under the British North America Act of 1867. His argument was based on a</w:t>
            </w:r>
            <w:r w:rsidR="00873589">
              <w:t xml:space="preserve"> </w:t>
            </w:r>
            <w:r w:rsidRPr="00873589">
              <w:t>British Common Law ruling of 1876, which stated, "women were eligible for pains and</w:t>
            </w:r>
            <w:r w:rsidR="00873589">
              <w:t xml:space="preserve"> </w:t>
            </w:r>
            <w:r w:rsidRPr="00873589">
              <w:t>penalties, but not rights and privileges." The Alberta Supreme Court later settled the issue</w:t>
            </w:r>
            <w:r w:rsidR="00873589">
              <w:t xml:space="preserve"> </w:t>
            </w:r>
            <w:r w:rsidRPr="00873589">
              <w:t xml:space="preserve">for Alberta by ruling that women were persons. This ruling, however, only </w:t>
            </w:r>
            <w:r w:rsidR="00873589">
              <w:t xml:space="preserve"> a</w:t>
            </w:r>
            <w:r w:rsidRPr="00873589">
              <w:t>pplied to</w:t>
            </w:r>
            <w:r w:rsidR="00873589">
              <w:t xml:space="preserve"> </w:t>
            </w:r>
            <w:r w:rsidRPr="00873589">
              <w:t>Alberta.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petition</w:t>
            </w:r>
          </w:p>
        </w:tc>
        <w:tc>
          <w:tcPr>
            <w:tcW w:w="6300" w:type="dxa"/>
          </w:tcPr>
          <w:p w:rsidR="00873589" w:rsidRDefault="00C550EC" w:rsidP="00873589">
            <w:r w:rsidRPr="00873589">
              <w:t>A petition is a document that is signed by people who want a government or other group in</w:t>
            </w:r>
            <w:r w:rsidR="00873589">
              <w:t xml:space="preserve"> </w:t>
            </w:r>
            <w:r w:rsidRPr="00873589">
              <w:t>authority to take an action or make a change.</w:t>
            </w:r>
          </w:p>
          <w:p w:rsidR="00873589" w:rsidRDefault="00873589" w:rsidP="00873589"/>
          <w:p w:rsidR="00873589" w:rsidRDefault="00873589" w:rsidP="00873589"/>
          <w:p w:rsidR="00873589" w:rsidRDefault="00873589" w:rsidP="00873589"/>
          <w:p w:rsidR="00C550EC" w:rsidRPr="00873589" w:rsidRDefault="00C550EC" w:rsidP="00873589"/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Petition for the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vote for women –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 xml:space="preserve">1915 </w:t>
            </w:r>
            <w:r w:rsidRPr="00873589">
              <w:rPr>
                <w:rFonts w:ascii="Adobe Devanagari" w:hAnsi="Adobe Devanagari" w:cs="Adobe Devanagari"/>
                <w:b/>
              </w:rPr>
              <w:t>‐</w:t>
            </w:r>
            <w:r w:rsidRPr="00873589">
              <w:rPr>
                <w:b/>
              </w:rPr>
              <w:t>1916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Liberals had promised to grant the vote to women of Manitoba if they could present the</w:t>
            </w:r>
            <w:r w:rsidR="00873589">
              <w:t xml:space="preserve"> </w:t>
            </w:r>
            <w:r w:rsidRPr="00873589">
              <w:t>legislature with a petition signed by 17,000 people. By the end of 1915, the Political Equality</w:t>
            </w:r>
            <w:r w:rsidR="00873589">
              <w:t xml:space="preserve"> </w:t>
            </w:r>
            <w:r w:rsidRPr="00873589">
              <w:t>League (PEL) submitted a petition with 39,584 signatures. A second petition circulated by</w:t>
            </w:r>
          </w:p>
          <w:p w:rsidR="00C550EC" w:rsidRPr="00873589" w:rsidRDefault="00C550EC" w:rsidP="00873589">
            <w:r w:rsidRPr="00873589">
              <w:t>94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year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old Amelia Burdett of Sturgeon Creek was signed by 4,250 people.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Political Equality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League (PEL)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Political Equality League, founded in 1912 in Winnipeg, was a group of women and some</w:t>
            </w:r>
            <w:r w:rsidR="00873589">
              <w:t xml:space="preserve"> </w:t>
            </w:r>
            <w:r w:rsidRPr="00873589">
              <w:t>men in Manitoba who campaigned for the vote for women as well as other reforms such as</w:t>
            </w:r>
            <w:r w:rsidR="00873589">
              <w:t xml:space="preserve"> </w:t>
            </w:r>
            <w:r w:rsidRPr="00873589">
              <w:t>improved living and working conditions for women and children. The members published</w:t>
            </w:r>
            <w:r w:rsidR="00873589">
              <w:t xml:space="preserve"> </w:t>
            </w:r>
            <w:r w:rsidRPr="00873589">
              <w:t>pamphlets, spoke to groups, circulated petitions and made a presentation to the Legislature.</w:t>
            </w:r>
          </w:p>
          <w:p w:rsidR="00C550EC" w:rsidRPr="00873589" w:rsidRDefault="00C550EC" w:rsidP="00873589">
            <w:r w:rsidRPr="00873589">
              <w:t>Members included Dr. Mary Crawford, Nellie McClung, E. Cora Hind, Frances Marion</w:t>
            </w:r>
            <w:r w:rsidR="00873589">
              <w:t xml:space="preserve"> </w:t>
            </w:r>
            <w:proofErr w:type="spellStart"/>
            <w:r w:rsidRPr="00873589">
              <w:t>Beynon</w:t>
            </w:r>
            <w:proofErr w:type="spellEnd"/>
            <w:r w:rsidRPr="00873589">
              <w:t xml:space="preserve">, Lillian </w:t>
            </w:r>
            <w:proofErr w:type="spellStart"/>
            <w:r w:rsidRPr="00873589">
              <w:t>Beynon</w:t>
            </w:r>
            <w:proofErr w:type="spellEnd"/>
            <w:r w:rsidRPr="00873589">
              <w:t xml:space="preserve"> Thomas, Winona </w:t>
            </w:r>
            <w:proofErr w:type="spellStart"/>
            <w:r w:rsidRPr="00873589">
              <w:t>Flett</w:t>
            </w:r>
            <w:proofErr w:type="spellEnd"/>
            <w:r w:rsidRPr="00873589">
              <w:t xml:space="preserve"> and Lynn </w:t>
            </w:r>
            <w:proofErr w:type="spellStart"/>
            <w:r w:rsidRPr="00873589">
              <w:t>Flett</w:t>
            </w:r>
            <w:proofErr w:type="spellEnd"/>
            <w:r w:rsidRPr="00873589">
              <w:t>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politics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Politics are the activities associated with governing or influencing people.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prejudice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Prejudice refers to an opinion, often negative, about something, someone or a group of</w:t>
            </w:r>
            <w:r w:rsidR="00873589">
              <w:t xml:space="preserve"> </w:t>
            </w:r>
            <w:r w:rsidRPr="00873589">
              <w:t>people not based on facts. It is an opinion or judgment that disregards the facts. Racism is</w:t>
            </w:r>
            <w:r w:rsidR="00873589">
              <w:t xml:space="preserve"> </w:t>
            </w:r>
            <w:r w:rsidRPr="00873589">
              <w:t>an example of prejudice.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prohibition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 xml:space="preserve">Prohibition refers to the action of forbidding something 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 xml:space="preserve"> an order or law that forbids</w:t>
            </w:r>
            <w:r w:rsidR="00873589">
              <w:t xml:space="preserve"> </w:t>
            </w:r>
            <w:r w:rsidRPr="00873589">
              <w:t>something to happen.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referendum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 referendum refers to a direct vote on one issue.</w:t>
            </w:r>
          </w:p>
          <w:p w:rsidR="00C550EC" w:rsidRPr="00873589" w:rsidRDefault="00C550EC" w:rsidP="00873589">
            <w:r w:rsidRPr="00873589">
              <w:t>In Canada, a referendum is binding. Referendums can be held at any level of government,</w:t>
            </w:r>
            <w:r w:rsidR="00873589">
              <w:t xml:space="preserve"> </w:t>
            </w:r>
            <w:r w:rsidRPr="00873589">
              <w:t>but are more common at the provincial or local level.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reform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Reform refers to making changes to a social, political, or economic practice or institution to</w:t>
            </w:r>
            <w:r w:rsidR="00873589">
              <w:t xml:space="preserve"> </w:t>
            </w:r>
            <w:r w:rsidRPr="00873589">
              <w:t>attempt to improve it.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Riding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term generally used for a Federal Political area.</w:t>
            </w:r>
          </w:p>
          <w:p w:rsidR="00C550EC" w:rsidRPr="00873589" w:rsidRDefault="00C550EC" w:rsidP="00873589">
            <w:r w:rsidRPr="00873589">
              <w:t>In Canada, a Riding is a place or geographical area that is represented in the House of</w:t>
            </w:r>
            <w:r w:rsidR="00873589">
              <w:t xml:space="preserve"> </w:t>
            </w:r>
            <w:r w:rsidRPr="00873589">
              <w:t>Commons by a member of parliament, or in provincial and territory elections an area</w:t>
            </w:r>
            <w:r w:rsidR="00873589">
              <w:t xml:space="preserve"> </w:t>
            </w:r>
            <w:r w:rsidRPr="00873589">
              <w:t>represented by a member of the provincial or territory legislative assembly.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Senate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Senate is the Upper house of the Canadian Parliament located in Ottawa; its members</w:t>
            </w:r>
            <w:r w:rsidR="00873589">
              <w:t xml:space="preserve"> </w:t>
            </w:r>
            <w:r w:rsidRPr="00873589">
              <w:t>are appointed. Until October 18th, 1929, only men could be appointed to the Canadian</w:t>
            </w:r>
            <w:r w:rsidR="00873589">
              <w:t xml:space="preserve"> </w:t>
            </w:r>
            <w:r w:rsidRPr="00873589">
              <w:t>Senate. On October 18th, 1929 because of the Person’s Case, women were considered to</w:t>
            </w:r>
            <w:r w:rsidR="00873589">
              <w:t xml:space="preserve"> </w:t>
            </w:r>
            <w:r w:rsidRPr="00873589">
              <w:t>be “persons” under Canadian law making them eligible to be appointed to the Canadian</w:t>
            </w:r>
            <w:r w:rsidR="00873589">
              <w:t xml:space="preserve"> </w:t>
            </w:r>
            <w:r w:rsidRPr="00873589">
              <w:t>Senate.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Senator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 person who is appointed to the Senate is a Senator.</w:t>
            </w:r>
          </w:p>
        </w:tc>
      </w:tr>
      <w:tr w:rsidR="00C550EC" w:rsidRPr="00873589" w:rsidTr="00873589"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suffrage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Suffrage is the right to vote in an election.</w:t>
            </w:r>
          </w:p>
        </w:tc>
      </w:tr>
      <w:tr w:rsidR="00C550EC" w:rsidRPr="00873589" w:rsidTr="00873589">
        <w:tblPrEx>
          <w:tblLook w:val="04A0"/>
        </w:tblPrEx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suffragist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A woman who campaigned for the vote for women was known as suffragist.</w:t>
            </w:r>
          </w:p>
        </w:tc>
      </w:tr>
      <w:tr w:rsidR="00C550EC" w:rsidRPr="00873589" w:rsidTr="00873589">
        <w:tblPrEx>
          <w:tblLook w:val="04A0"/>
        </w:tblPrEx>
        <w:tc>
          <w:tcPr>
            <w:tcW w:w="2088" w:type="dxa"/>
          </w:tcPr>
          <w:p w:rsidR="00C550EC" w:rsidRPr="00873589" w:rsidRDefault="00873589" w:rsidP="00873589">
            <w:pPr>
              <w:rPr>
                <w:b/>
              </w:rPr>
            </w:pPr>
            <w:r w:rsidRPr="00873589">
              <w:rPr>
                <w:b/>
              </w:rPr>
              <w:t>T</w:t>
            </w:r>
            <w:r w:rsidR="00C550EC" w:rsidRPr="00873589">
              <w:rPr>
                <w:b/>
              </w:rPr>
              <w:t>emperance</w:t>
            </w:r>
            <w:r w:rsidRPr="00873589">
              <w:rPr>
                <w:b/>
              </w:rPr>
              <w:t xml:space="preserve"> </w:t>
            </w:r>
            <w:r w:rsidR="00C550EC" w:rsidRPr="00873589">
              <w:rPr>
                <w:b/>
              </w:rPr>
              <w:t>movement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Temperance refers to a movement to ban the use of alcohol.</w:t>
            </w:r>
          </w:p>
        </w:tc>
      </w:tr>
      <w:tr w:rsidR="00C550EC" w:rsidRPr="00873589" w:rsidTr="00873589">
        <w:tblPrEx>
          <w:tblLook w:val="04A0"/>
        </w:tblPrEx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vote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To vote means to express the will or a preference in a matter by ballot, raising a hand or by</w:t>
            </w:r>
            <w:r w:rsidR="00873589">
              <w:t xml:space="preserve"> </w:t>
            </w:r>
            <w:r w:rsidRPr="00873589">
              <w:t>voice. In Canada in Municipal, Provincial and Federal elections, people vote through a secret</w:t>
            </w:r>
            <w:r w:rsidR="00873589">
              <w:t xml:space="preserve"> </w:t>
            </w:r>
            <w:r w:rsidRPr="00873589">
              <w:t>ballot.</w:t>
            </w:r>
          </w:p>
        </w:tc>
      </w:tr>
      <w:tr w:rsidR="00C550EC" w:rsidRPr="00873589" w:rsidTr="00873589">
        <w:tblPrEx>
          <w:tblLook w:val="04A0"/>
        </w:tblPrEx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Women’s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Christian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Temperance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Union (W.C.T.U.)</w:t>
            </w:r>
          </w:p>
        </w:tc>
        <w:tc>
          <w:tcPr>
            <w:tcW w:w="6300" w:type="dxa"/>
          </w:tcPr>
          <w:p w:rsidR="00873589" w:rsidRDefault="00C550EC" w:rsidP="00873589">
            <w:r w:rsidRPr="00873589">
              <w:t>The Women’s Christian Temperance Union (WCTU) was a group who worked for social</w:t>
            </w:r>
            <w:r w:rsidR="00873589">
              <w:t xml:space="preserve"> </w:t>
            </w:r>
            <w:r w:rsidRPr="00873589">
              <w:t>reform that would improve the lives of women and children. Its members believed that the</w:t>
            </w:r>
            <w:r w:rsidR="00873589">
              <w:t xml:space="preserve"> </w:t>
            </w:r>
            <w:r w:rsidRPr="00873589">
              <w:t>excessive use of alcohol caused problems in society and in families and, as a result, the</w:t>
            </w:r>
            <w:r w:rsidR="00873589">
              <w:t xml:space="preserve"> </w:t>
            </w:r>
            <w:r w:rsidRPr="00873589">
              <w:t>WCTU wished to have the use of alcohol banned. They also believed that women must have</w:t>
            </w:r>
            <w:r w:rsidR="00873589">
              <w:t xml:space="preserve"> </w:t>
            </w:r>
            <w:r w:rsidRPr="00873589">
              <w:t>the right to vote.</w:t>
            </w:r>
          </w:p>
          <w:p w:rsidR="00873589" w:rsidRDefault="00873589" w:rsidP="00873589"/>
          <w:p w:rsidR="00873589" w:rsidRDefault="00873589" w:rsidP="00873589"/>
          <w:p w:rsidR="00C550EC" w:rsidRPr="00873589" w:rsidRDefault="00C550EC" w:rsidP="00873589"/>
        </w:tc>
      </w:tr>
      <w:tr w:rsidR="00C550EC" w:rsidRPr="00873589" w:rsidTr="00873589">
        <w:tblPrEx>
          <w:tblLook w:val="04A0"/>
        </w:tblPrEx>
        <w:tc>
          <w:tcPr>
            <w:tcW w:w="2088" w:type="dxa"/>
          </w:tcPr>
          <w:p w:rsidR="00C550EC" w:rsidRPr="00873589" w:rsidRDefault="00C550EC" w:rsidP="00873589">
            <w:pPr>
              <w:rPr>
                <w:b/>
              </w:rPr>
            </w:pPr>
            <w:r w:rsidRPr="00873589">
              <w:rPr>
                <w:b/>
              </w:rPr>
              <w:t>Women’s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Parliament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or</w:t>
            </w:r>
            <w:r w:rsidR="00873589" w:rsidRPr="00873589">
              <w:rPr>
                <w:b/>
              </w:rPr>
              <w:t xml:space="preserve"> </w:t>
            </w:r>
            <w:r w:rsidRPr="00873589">
              <w:rPr>
                <w:b/>
              </w:rPr>
              <w:t>Mock Parliament</w:t>
            </w:r>
          </w:p>
        </w:tc>
        <w:tc>
          <w:tcPr>
            <w:tcW w:w="6300" w:type="dxa"/>
          </w:tcPr>
          <w:p w:rsidR="00C550EC" w:rsidRPr="00873589" w:rsidRDefault="00C550EC" w:rsidP="00873589">
            <w:r w:rsidRPr="00873589">
              <w:t>The Women’s Parliament or the Mock Parliament was a play about a “Women’s Parliament”</w:t>
            </w:r>
            <w:r w:rsidR="00873589">
              <w:t xml:space="preserve"> </w:t>
            </w:r>
            <w:r w:rsidRPr="00873589">
              <w:t>put on in the Walker Theatre in Winnipeg by the Political quality League. Nellie McClung</w:t>
            </w:r>
            <w:r w:rsidR="00873589">
              <w:t xml:space="preserve"> </w:t>
            </w:r>
            <w:r w:rsidRPr="00873589">
              <w:t>took the part of the Premier. Men brought a petition to “the premier” asking for the vote.</w:t>
            </w:r>
            <w:r w:rsidR="00873589">
              <w:t xml:space="preserve"> </w:t>
            </w:r>
            <w:r w:rsidRPr="00873589">
              <w:t>They were refused. Nellie (as the Premier) used the same arguments to deny them the vote</w:t>
            </w:r>
            <w:r w:rsidR="00873589">
              <w:t xml:space="preserve"> </w:t>
            </w:r>
            <w:r w:rsidRPr="00873589">
              <w:t xml:space="preserve">as Premier </w:t>
            </w:r>
            <w:proofErr w:type="spellStart"/>
            <w:r w:rsidRPr="00873589">
              <w:t>Roblin</w:t>
            </w:r>
            <w:proofErr w:type="spellEnd"/>
            <w:r w:rsidRPr="00873589">
              <w:t xml:space="preserve"> had used against women. “If men were all so intelligent as these</w:t>
            </w:r>
            <w:r w:rsidR="00873589">
              <w:t xml:space="preserve"> </w:t>
            </w:r>
            <w:r w:rsidRPr="00873589">
              <w:t>representatives of the downtrodden sex seem to be, it might not do any harm to give them</w:t>
            </w:r>
            <w:r w:rsidR="00873589">
              <w:t xml:space="preserve"> </w:t>
            </w:r>
            <w:r w:rsidRPr="00873589">
              <w:t>the vote. But all men are not intelligent. There is no use giving men votes. They wouldn’t</w:t>
            </w:r>
            <w:r w:rsidR="00873589">
              <w:t xml:space="preserve"> </w:t>
            </w:r>
            <w:r w:rsidRPr="00873589">
              <w:t>use them. They would let them spoil and go to waste. Then again some men would vote too</w:t>
            </w:r>
            <w:r w:rsidR="00873589">
              <w:t xml:space="preserve"> </w:t>
            </w:r>
            <w:r w:rsidRPr="00873589">
              <w:t xml:space="preserve">much </w:t>
            </w:r>
            <w:r w:rsidRPr="00873589">
              <w:rPr>
                <w:rFonts w:ascii="Adobe Devanagari" w:hAnsi="Adobe Devanagari" w:cs="Adobe Devanagari"/>
              </w:rPr>
              <w:t>‐‐‐</w:t>
            </w:r>
            <w:r w:rsidRPr="00873589">
              <w:t xml:space="preserve">“ </w:t>
            </w:r>
            <w:proofErr w:type="spellStart"/>
            <w:r w:rsidRPr="00873589">
              <w:t>Hallett</w:t>
            </w:r>
            <w:proofErr w:type="spellEnd"/>
            <w:r w:rsidRPr="00873589">
              <w:t xml:space="preserve"> and Davis, p.125</w:t>
            </w:r>
          </w:p>
          <w:p w:rsidR="00C550EC" w:rsidRPr="00873589" w:rsidRDefault="00C550EC" w:rsidP="00873589">
            <w:r w:rsidRPr="00873589">
              <w:t>To learn more, see/hear the following Websites:</w:t>
            </w:r>
          </w:p>
          <w:p w:rsidR="00873589" w:rsidRPr="00873589" w:rsidRDefault="00C550EC" w:rsidP="00873589">
            <w:pPr>
              <w:pStyle w:val="BulletPoints"/>
            </w:pPr>
            <w:r w:rsidRPr="00873589">
              <w:t>Nellie McClung's 'mock parliament', a short video in the C.B.C. Digital Archives Website.</w:t>
            </w:r>
            <w:r w:rsidR="00873589">
              <w:br/>
            </w:r>
            <w:r w:rsidRPr="00873589">
              <w:t>http://archives.C.B.C..ca/politics/rights_freedoms/clips/9553/ .</w:t>
            </w:r>
            <w:r w:rsidR="00873589" w:rsidRPr="00873589">
              <w:t xml:space="preserve"> </w:t>
            </w:r>
          </w:p>
          <w:p w:rsidR="00C550EC" w:rsidRPr="00873589" w:rsidRDefault="00C550EC" w:rsidP="00873589">
            <w:pPr>
              <w:pStyle w:val="BulletPoints"/>
            </w:pPr>
            <w:r w:rsidRPr="00873589">
              <w:t xml:space="preserve">Radio Minutes: Listen to Nellie McClung – speaking to </w:t>
            </w:r>
            <w:proofErr w:type="spellStart"/>
            <w:r w:rsidRPr="00873589">
              <w:t>Roblin</w:t>
            </w:r>
            <w:proofErr w:type="spellEnd"/>
            <w:r w:rsidRPr="00873589">
              <w:t xml:space="preserve"> and then addressing the Mock</w:t>
            </w:r>
            <w:r w:rsidR="00873589">
              <w:t xml:space="preserve"> </w:t>
            </w:r>
            <w:r w:rsidRPr="00873589">
              <w:t>Parliament. http://www.histori.ca/minutes/minute.do?id=13558 Nellie McClung's 'mock</w:t>
            </w:r>
            <w:r w:rsidR="00873589">
              <w:t xml:space="preserve"> </w:t>
            </w:r>
            <w:r w:rsidRPr="00873589">
              <w:t>parliament'</w:t>
            </w:r>
          </w:p>
        </w:tc>
      </w:tr>
      <w:tr w:rsidR="00C550EC" w:rsidRPr="00873589" w:rsidTr="00873589">
        <w:tblPrEx>
          <w:tblLook w:val="04A0"/>
        </w:tblPrEx>
        <w:tc>
          <w:tcPr>
            <w:tcW w:w="2088" w:type="dxa"/>
          </w:tcPr>
          <w:p w:rsidR="00C550EC" w:rsidRPr="00873589" w:rsidRDefault="00873589" w:rsidP="00873589">
            <w:pPr>
              <w:rPr>
                <w:b/>
              </w:rPr>
            </w:pPr>
            <w:r w:rsidRPr="00873589">
              <w:rPr>
                <w:b/>
              </w:rPr>
              <w:t xml:space="preserve">***Japanese Internment Camps </w:t>
            </w:r>
            <w:r w:rsidRPr="00873589">
              <w:rPr>
                <w:rFonts w:ascii="Adobe Devanagari" w:hAnsi="Adobe Devanagari" w:cs="Adobe Devanagari"/>
                <w:b/>
              </w:rPr>
              <w:t>‐</w:t>
            </w:r>
            <w:r w:rsidRPr="00873589">
              <w:rPr>
                <w:b/>
              </w:rPr>
              <w:t xml:space="preserve"> a further explanation</w:t>
            </w:r>
          </w:p>
        </w:tc>
        <w:tc>
          <w:tcPr>
            <w:tcW w:w="6300" w:type="dxa"/>
          </w:tcPr>
          <w:p w:rsidR="00873589" w:rsidRPr="00873589" w:rsidRDefault="00873589" w:rsidP="00873589">
            <w:r w:rsidRPr="00873589">
              <w:t>CBC News British Columbia: Posted: Nov 17, 2011</w:t>
            </w:r>
          </w:p>
          <w:p w:rsidR="00873589" w:rsidRPr="00873589" w:rsidRDefault="00873589" w:rsidP="00873589">
            <w:r w:rsidRPr="00873589">
              <w:t>http://www.cbc.ca/news/canada/british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columbia/story/2011/11/17/bc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ubc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japanese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internment.html</w:t>
            </w:r>
          </w:p>
          <w:p w:rsidR="00873589" w:rsidRPr="00873589" w:rsidRDefault="00873589" w:rsidP="00873589">
            <w:r w:rsidRPr="00873589">
              <w:t>After the Japanese attacked Pearl Harbour in 1941, about 22,000 Japanese Canadians were banned</w:t>
            </w:r>
            <w:r>
              <w:t xml:space="preserve"> </w:t>
            </w:r>
            <w:r w:rsidRPr="00873589">
              <w:t>from the West Coast , despite the fact that many were Canadian citizens whose families had been</w:t>
            </w:r>
            <w:r>
              <w:t xml:space="preserve"> </w:t>
            </w:r>
            <w:r w:rsidRPr="00873589">
              <w:t>living and fishing on the West Coast for generations.</w:t>
            </w:r>
          </w:p>
          <w:p w:rsidR="00873589" w:rsidRPr="00873589" w:rsidRDefault="00873589" w:rsidP="00873589">
            <w:r w:rsidRPr="00873589">
              <w:t>They were told to pack a single suitcase and sent to internment camps in the B.C. Interior were they</w:t>
            </w:r>
            <w:r>
              <w:t xml:space="preserve"> </w:t>
            </w:r>
            <w:r w:rsidRPr="00873589">
              <w:t>lived in rough shacks for much of the war. In 1943 all their property, homes, and fishing boats were</w:t>
            </w:r>
            <w:r>
              <w:t xml:space="preserve"> </w:t>
            </w:r>
            <w:r w:rsidRPr="00873589">
              <w:t>auctioned off by the government.</w:t>
            </w:r>
          </w:p>
          <w:p w:rsidR="00873589" w:rsidRPr="00873589" w:rsidRDefault="00873589" w:rsidP="00873589">
            <w:r w:rsidRPr="00873589">
              <w:t>After the war, the federal government decided to remove all Japanese Canadians from British</w:t>
            </w:r>
            <w:r>
              <w:t xml:space="preserve"> </w:t>
            </w:r>
            <w:r w:rsidRPr="00873589">
              <w:t>Columbia. They forced them to choose between deportation to war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ravaged Japan or dispersal east</w:t>
            </w:r>
            <w:r>
              <w:t xml:space="preserve"> </w:t>
            </w:r>
            <w:r w:rsidRPr="00873589">
              <w:t>of the Rocky Mountains. Most chose the latter, moving to Ontario, Québec and the Prairie</w:t>
            </w:r>
            <w:r>
              <w:t xml:space="preserve"> </w:t>
            </w:r>
            <w:r w:rsidRPr="00873589">
              <w:t>provinces.</w:t>
            </w:r>
          </w:p>
          <w:p w:rsidR="00873589" w:rsidRPr="00873589" w:rsidRDefault="00873589" w:rsidP="00873589">
            <w:r w:rsidRPr="00873589">
              <w:t>Public protest would eventually stop the deportations, but not before 4,000 Japanese Canadians</w:t>
            </w:r>
            <w:r>
              <w:t xml:space="preserve"> </w:t>
            </w:r>
            <w:r w:rsidRPr="00873589">
              <w:t>left the country. On 1 April 1949, Japanese Canadians regained their freedom to live anywhere in</w:t>
            </w:r>
            <w:r>
              <w:t xml:space="preserve"> </w:t>
            </w:r>
            <w:r w:rsidRPr="00873589">
              <w:t>Canada.</w:t>
            </w:r>
          </w:p>
          <w:p w:rsidR="00C550EC" w:rsidRPr="00873589" w:rsidRDefault="00873589" w:rsidP="00873589">
            <w:r w:rsidRPr="00873589">
              <w:t>Forty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three years after the end of the war, then</w:t>
            </w:r>
            <w:r w:rsidRPr="00873589">
              <w:rPr>
                <w:rFonts w:ascii="Adobe Devanagari" w:hAnsi="Adobe Devanagari" w:cs="Adobe Devanagari"/>
              </w:rPr>
              <w:t>‐</w:t>
            </w:r>
            <w:r w:rsidRPr="00873589">
              <w:t>prime minister Brian Mulroney acknowledged the</w:t>
            </w:r>
            <w:r>
              <w:t xml:space="preserve"> </w:t>
            </w:r>
            <w:r w:rsidRPr="00873589">
              <w:t>wartime wrongs and announced compensation packages including of $21,000 for each individual</w:t>
            </w:r>
            <w:r>
              <w:t xml:space="preserve"> </w:t>
            </w:r>
            <w:r w:rsidRPr="00873589">
              <w:t>directly wronged.</w:t>
            </w:r>
          </w:p>
        </w:tc>
      </w:tr>
    </w:tbl>
    <w:p w:rsidR="00EA06A9" w:rsidRPr="00873589" w:rsidRDefault="00EA06A9" w:rsidP="00873589"/>
    <w:sectPr w:rsidR="00EA06A9" w:rsidRPr="00873589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EC" w:rsidRDefault="00C550EC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0EC" w:rsidRDefault="00C550EC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EC" w:rsidRPr="00CB56D7" w:rsidRDefault="00C550EC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C550EC" w:rsidRPr="00A74751" w:rsidRDefault="00C550EC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C550EC" w:rsidRPr="00653A5F" w:rsidRDefault="00C550EC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C550EC" w:rsidRPr="00653A5F" w:rsidRDefault="00C550EC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873589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873589">
      <w:rPr>
        <w:rStyle w:val="PageNumber"/>
        <w:noProof/>
      </w:rPr>
      <w:t>8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EC" w:rsidRDefault="00C550EC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C550EC" w:rsidRPr="00CB56D7" w:rsidRDefault="00C550EC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C550EC" w:rsidRPr="00A74751" w:rsidRDefault="00C550EC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C550EC" w:rsidRPr="00653A5F" w:rsidRDefault="00C550EC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C550EC" w:rsidRPr="00653A5F" w:rsidRDefault="00C550EC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873589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873589">
      <w:rPr>
        <w:rStyle w:val="PageNumber"/>
        <w:noProof/>
      </w:rPr>
      <w:t>8</w:t>
    </w:r>
    <w:r w:rsidRPr="00CB56D7">
      <w:rPr>
        <w:rStyle w:val="PageNumber"/>
      </w:rPr>
      <w:fldChar w:fldCharType="end"/>
    </w:r>
  </w:p>
  <w:p w:rsidR="00C550EC" w:rsidRDefault="00C550E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EC" w:rsidRDefault="00C550E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EC" w:rsidRDefault="00C550E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EC" w:rsidRDefault="00C550EC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C550EC" w:rsidRDefault="00C550EC" w:rsidP="00FE067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C550EC" w:rsidRPr="00F12FD2" w:rsidRDefault="00C550EC" w:rsidP="00FE067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BC6AD8"/>
    <w:multiLevelType w:val="hybridMultilevel"/>
    <w:tmpl w:val="80C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4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9"/>
  </w:num>
  <w:num w:numId="5">
    <w:abstractNumId w:val="19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14"/>
  </w:num>
  <w:num w:numId="11">
    <w:abstractNumId w:val="6"/>
  </w:num>
  <w:num w:numId="12">
    <w:abstractNumId w:val="30"/>
  </w:num>
  <w:num w:numId="13">
    <w:abstractNumId w:val="31"/>
  </w:num>
  <w:num w:numId="14">
    <w:abstractNumId w:val="10"/>
  </w:num>
  <w:num w:numId="15">
    <w:abstractNumId w:val="23"/>
  </w:num>
  <w:num w:numId="16">
    <w:abstractNumId w:val="26"/>
  </w:num>
  <w:num w:numId="17">
    <w:abstractNumId w:val="7"/>
  </w:num>
  <w:num w:numId="18">
    <w:abstractNumId w:val="34"/>
  </w:num>
  <w:num w:numId="19">
    <w:abstractNumId w:val="22"/>
  </w:num>
  <w:num w:numId="20">
    <w:abstractNumId w:val="8"/>
  </w:num>
  <w:num w:numId="21">
    <w:abstractNumId w:val="4"/>
  </w:num>
  <w:num w:numId="22">
    <w:abstractNumId w:val="20"/>
  </w:num>
  <w:num w:numId="23">
    <w:abstractNumId w:val="15"/>
  </w:num>
  <w:num w:numId="24">
    <w:abstractNumId w:val="5"/>
  </w:num>
  <w:num w:numId="25">
    <w:abstractNumId w:val="32"/>
  </w:num>
  <w:num w:numId="26">
    <w:abstractNumId w:val="3"/>
  </w:num>
  <w:num w:numId="27">
    <w:abstractNumId w:val="12"/>
  </w:num>
  <w:num w:numId="28">
    <w:abstractNumId w:val="29"/>
  </w:num>
  <w:num w:numId="29">
    <w:abstractNumId w:val="25"/>
  </w:num>
  <w:num w:numId="30">
    <w:abstractNumId w:val="24"/>
  </w:num>
  <w:num w:numId="31">
    <w:abstractNumId w:val="11"/>
  </w:num>
  <w:num w:numId="32">
    <w:abstractNumId w:val="0"/>
  </w:num>
  <w:num w:numId="33">
    <w:abstractNumId w:val="27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122B58"/>
    <w:rsid w:val="00170A76"/>
    <w:rsid w:val="00187FB3"/>
    <w:rsid w:val="001F6F47"/>
    <w:rsid w:val="00210EF3"/>
    <w:rsid w:val="002635C9"/>
    <w:rsid w:val="003270BF"/>
    <w:rsid w:val="00345828"/>
    <w:rsid w:val="003C0E5D"/>
    <w:rsid w:val="003D0B12"/>
    <w:rsid w:val="00425EFC"/>
    <w:rsid w:val="0043492B"/>
    <w:rsid w:val="004807F0"/>
    <w:rsid w:val="00481F5A"/>
    <w:rsid w:val="00596E27"/>
    <w:rsid w:val="0064221E"/>
    <w:rsid w:val="00653A5F"/>
    <w:rsid w:val="006C4420"/>
    <w:rsid w:val="006F61BD"/>
    <w:rsid w:val="007220D3"/>
    <w:rsid w:val="007C7C2E"/>
    <w:rsid w:val="007E1FD7"/>
    <w:rsid w:val="0080120F"/>
    <w:rsid w:val="00873589"/>
    <w:rsid w:val="008B6B63"/>
    <w:rsid w:val="008F28D1"/>
    <w:rsid w:val="009B68E5"/>
    <w:rsid w:val="009F4BC7"/>
    <w:rsid w:val="00A35B02"/>
    <w:rsid w:val="00A74751"/>
    <w:rsid w:val="00AE348B"/>
    <w:rsid w:val="00AF6860"/>
    <w:rsid w:val="00B54A68"/>
    <w:rsid w:val="00B71CCD"/>
    <w:rsid w:val="00C550EC"/>
    <w:rsid w:val="00CB56D7"/>
    <w:rsid w:val="00D07680"/>
    <w:rsid w:val="00D208DB"/>
    <w:rsid w:val="00D2613D"/>
    <w:rsid w:val="00DB6107"/>
    <w:rsid w:val="00DB6209"/>
    <w:rsid w:val="00DD390B"/>
    <w:rsid w:val="00E21E46"/>
    <w:rsid w:val="00EA06A9"/>
    <w:rsid w:val="00EE61E5"/>
    <w:rsid w:val="00F314F0"/>
    <w:rsid w:val="00F46158"/>
    <w:rsid w:val="00FE067C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1466</Words>
  <Characters>8357</Characters>
  <Application>Microsoft Macintosh Word</Application>
  <DocSecurity>0</DocSecurity>
  <Lines>69</Lines>
  <Paragraphs>16</Paragraphs>
  <ScaleCrop>false</ScaleCrop>
  <Company>Blindside Creative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2015-01-08T19:32:00Z</dcterms:created>
  <dcterms:modified xsi:type="dcterms:W3CDTF">2015-01-08T19:52:00Z</dcterms:modified>
</cp:coreProperties>
</file>