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AC" w:rsidRDefault="00B600AC" w:rsidP="00BC58E5">
      <w:pPr>
        <w:pStyle w:val="Heading1"/>
      </w:pPr>
      <w:bookmarkStart w:id="0" w:name="_GoBack"/>
      <w:bookmarkEnd w:id="0"/>
    </w:p>
    <w:p w:rsidR="004007AB" w:rsidRPr="00BC58E5" w:rsidRDefault="004007AB" w:rsidP="00BC58E5">
      <w:pPr>
        <w:pStyle w:val="Heading1"/>
      </w:pPr>
      <w:r>
        <w:t>Strategy #3</w:t>
      </w:r>
    </w:p>
    <w:p w:rsidR="004007AB" w:rsidRDefault="004007AB" w:rsidP="001E06ED">
      <w:pPr>
        <w:pStyle w:val="Heading2"/>
        <w:spacing w:after="600"/>
      </w:pPr>
      <w:r w:rsidRPr="001A7EEF">
        <w:t>Sort and Predict</w:t>
      </w:r>
      <w:r>
        <w:t xml:space="preserve"> – Grade 11</w:t>
      </w:r>
    </w:p>
    <w:p w:rsidR="004007AB" w:rsidRDefault="004007AB" w:rsidP="00BC58E5">
      <w:pPr>
        <w:pStyle w:val="Heading2"/>
      </w:pPr>
      <w:r>
        <w:t xml:space="preserve">Purpose: </w:t>
      </w:r>
    </w:p>
    <w:p w:rsidR="004007AB" w:rsidRPr="001A7EEF" w:rsidRDefault="004007AB" w:rsidP="00BC58E5">
      <w:pPr>
        <w:pStyle w:val="BulletPoints"/>
      </w:pPr>
      <w:r w:rsidRPr="001A7EEF">
        <w:t>To acti</w:t>
      </w:r>
      <w:r>
        <w:t>vate and extend prior knowledge</w:t>
      </w:r>
    </w:p>
    <w:p w:rsidR="004007AB" w:rsidRPr="001A7EEF" w:rsidRDefault="004007AB" w:rsidP="00BC58E5">
      <w:pPr>
        <w:pStyle w:val="BulletPoints"/>
      </w:pPr>
      <w:r w:rsidRPr="001A7EEF">
        <w:t>To categorize information and ideas</w:t>
      </w:r>
      <w:r>
        <w:t xml:space="preserve"> through using terms (people, places etc.)</w:t>
      </w:r>
    </w:p>
    <w:p w:rsidR="004007AB" w:rsidRPr="001A7EEF" w:rsidRDefault="004007AB" w:rsidP="00BC58E5">
      <w:pPr>
        <w:pStyle w:val="BulletPoints"/>
      </w:pPr>
      <w:r w:rsidRPr="001A7EEF">
        <w:t xml:space="preserve">To </w:t>
      </w:r>
      <w:r>
        <w:t>help students focus on material</w:t>
      </w:r>
    </w:p>
    <w:p w:rsidR="004007AB" w:rsidRDefault="004007AB" w:rsidP="00BC58E5">
      <w:pPr>
        <w:pStyle w:val="BulletPoints"/>
      </w:pPr>
      <w:r w:rsidRPr="001A7EEF">
        <w:t>To help students make connections between what they know and what they are about to learn</w:t>
      </w:r>
    </w:p>
    <w:p w:rsidR="004007AB" w:rsidRDefault="004007AB" w:rsidP="00BC58E5">
      <w:pPr>
        <w:pStyle w:val="BulletPoints"/>
        <w:rPr>
          <w:b/>
        </w:rPr>
      </w:pPr>
      <w:r>
        <w:t>To review</w:t>
      </w:r>
    </w:p>
    <w:p w:rsidR="004007AB" w:rsidRDefault="004007AB" w:rsidP="004007AB">
      <w:pPr>
        <w:widowControl w:val="0"/>
        <w:rPr>
          <w:sz w:val="28"/>
          <w:szCs w:val="28"/>
        </w:rPr>
      </w:pPr>
    </w:p>
    <w:p w:rsidR="004007AB" w:rsidRPr="00D50422" w:rsidRDefault="004007AB" w:rsidP="00BC58E5">
      <w:pPr>
        <w:pStyle w:val="Heading2"/>
      </w:pPr>
      <w:r w:rsidRPr="00D50422">
        <w:t xml:space="preserve">Steps: 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D50422">
        <w:t xml:space="preserve">The teacher identifies several terms (including people, places, groups, </w:t>
      </w:r>
      <w:r>
        <w:t>Acts</w:t>
      </w:r>
      <w:r w:rsidRPr="00D50422">
        <w:t xml:space="preserve"> etc.) that are part of the content</w:t>
      </w:r>
      <w:r>
        <w:rPr>
          <w:sz w:val="28"/>
          <w:szCs w:val="28"/>
        </w:rPr>
        <w:t xml:space="preserve">. 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>The teacher provides students with the key terms.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 xml:space="preserve">Working in partners or small groups, students discuss the terms predicting the meanings of the words and sort them into categories. 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>If students have not done this strategy before or if the terms are very unfamiliar, the teacher may provide categories for students.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>A frame is often used to help students organize the information.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>Once completed, the teacher may ask various groups – what headings they chose –which terms were included under which heading and so on.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 xml:space="preserve">The  Sort and Predict  is often copied on both sides of a paper. </w:t>
      </w:r>
    </w:p>
    <w:p w:rsidR="004007AB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 xml:space="preserve">As a review, students might do the strategy again on the second side of the paper and then, compare their responses to their first attempt. (which is kept by the teacher) </w:t>
      </w:r>
    </w:p>
    <w:p w:rsidR="00BC58E5" w:rsidRPr="00BC58E5" w:rsidRDefault="004007AB" w:rsidP="00BC58E5">
      <w:pPr>
        <w:pStyle w:val="Chart-NumberedList"/>
        <w:numPr>
          <w:ilvl w:val="0"/>
          <w:numId w:val="37"/>
        </w:numPr>
        <w:rPr>
          <w:sz w:val="28"/>
        </w:rPr>
      </w:pPr>
      <w:r w:rsidRPr="003609D1">
        <w:t>The strategy may be combined with a Word Wall or a Word Box as a review.  The teacher takes the words from the word wall or word box and types them onto a Sort and Predict frame.  Students work in groups sorting the terms and reviewing as they do.</w:t>
      </w:r>
    </w:p>
    <w:p w:rsidR="00B600AC" w:rsidRDefault="00B600AC" w:rsidP="00BC58E5">
      <w:pPr>
        <w:pStyle w:val="Heading2"/>
      </w:pPr>
    </w:p>
    <w:p w:rsidR="00BC58E5" w:rsidRDefault="00BC58E5" w:rsidP="00BC58E5">
      <w:pPr>
        <w:pStyle w:val="Heading2"/>
      </w:pPr>
      <w:r w:rsidRPr="00912527">
        <w:t>Variation:</w:t>
      </w:r>
      <w:r>
        <w:t xml:space="preserve"> </w:t>
      </w:r>
    </w:p>
    <w:p w:rsidR="00BC58E5" w:rsidRPr="00D50422" w:rsidRDefault="00BC58E5" w:rsidP="00BC58E5">
      <w:pPr>
        <w:widowControl w:val="0"/>
        <w:tabs>
          <w:tab w:val="left" w:pos="1496"/>
          <w:tab w:val="left" w:pos="1683"/>
          <w:tab w:val="left" w:pos="1870"/>
          <w:tab w:val="left" w:pos="2244"/>
        </w:tabs>
        <w:spacing w:line="360" w:lineRule="auto"/>
        <w:ind w:leftChars="-1" w:left="-2" w:firstLine="2"/>
        <w:rPr>
          <w:rFonts w:ascii="Calibri" w:hAnsi="Calibri"/>
        </w:rPr>
      </w:pPr>
      <w:r>
        <w:rPr>
          <w:rFonts w:ascii="Calibri" w:hAnsi="Calibri"/>
        </w:rPr>
        <w:t>After all the terms have been placed on the frame, ask students to add another word – or 2 to the category.</w:t>
      </w:r>
    </w:p>
    <w:p w:rsidR="00BC58E5" w:rsidRDefault="00BC58E5" w:rsidP="00BC58E5">
      <w:pPr>
        <w:tabs>
          <w:tab w:val="left" w:pos="0"/>
        </w:tabs>
        <w:spacing w:beforeLines="50"/>
        <w:ind w:left="1" w:hanging="1"/>
        <w:rPr>
          <w:rFonts w:ascii="Calibri" w:hAnsi="Calibri"/>
          <w:b/>
          <w:sz w:val="18"/>
          <w:szCs w:val="18"/>
        </w:rPr>
      </w:pPr>
      <w:r w:rsidRPr="007303FE">
        <w:rPr>
          <w:rFonts w:ascii="Calibri" w:hAnsi="Calibri"/>
          <w:b/>
          <w:sz w:val="18"/>
          <w:szCs w:val="18"/>
        </w:rPr>
        <w:t>Adapted from Sort and Predict – Manitoba Education and Training Success for all Learners: 1996</w:t>
      </w:r>
      <w:r>
        <w:rPr>
          <w:rFonts w:ascii="Calibri" w:hAnsi="Calibri"/>
          <w:b/>
          <w:sz w:val="18"/>
          <w:szCs w:val="18"/>
        </w:rPr>
        <w:t xml:space="preserve"> p.6:34 -6:35</w:t>
      </w:r>
    </w:p>
    <w:p w:rsidR="00B600AC" w:rsidRDefault="00BC58E5" w:rsidP="001E06ED">
      <w:pPr>
        <w:pStyle w:val="Heading2"/>
        <w:spacing w:after="0"/>
      </w:pPr>
      <w:r>
        <w:br w:type="page"/>
      </w:r>
    </w:p>
    <w:p w:rsidR="001E06ED" w:rsidRDefault="001E06ED" w:rsidP="001E06ED">
      <w:pPr>
        <w:pStyle w:val="Heading2"/>
        <w:spacing w:after="0"/>
      </w:pPr>
      <w:r>
        <w:t>Sort and Predict</w:t>
      </w:r>
    </w:p>
    <w:p w:rsidR="001E06ED" w:rsidRPr="001E06ED" w:rsidRDefault="001E06ED" w:rsidP="001E06ED">
      <w:r>
        <w:t>Place each word listed in the left column in one or more of the following categories.</w:t>
      </w:r>
    </w:p>
    <w:tbl>
      <w:tblPr>
        <w:tblStyle w:val="TableGrid"/>
        <w:tblW w:w="9468" w:type="dxa"/>
        <w:tblLook w:val="00BF"/>
      </w:tblPr>
      <w:tblGrid>
        <w:gridCol w:w="1998"/>
        <w:gridCol w:w="3690"/>
        <w:gridCol w:w="3780"/>
      </w:tblGrid>
      <w:tr w:rsidR="001E06ED">
        <w:tc>
          <w:tcPr>
            <w:tcW w:w="1998" w:type="dxa"/>
          </w:tcPr>
          <w:p w:rsidR="001E06ED" w:rsidRPr="001E06ED" w:rsidRDefault="001E06ED" w:rsidP="001E06ED">
            <w:pPr>
              <w:pStyle w:val="chartcopy"/>
            </w:pPr>
            <w:r w:rsidRPr="001E06ED">
              <w:t>Terms</w:t>
            </w:r>
          </w:p>
        </w:tc>
        <w:tc>
          <w:tcPr>
            <w:tcW w:w="3690" w:type="dxa"/>
          </w:tcPr>
          <w:p w:rsidR="001E06ED" w:rsidRPr="001E06ED" w:rsidRDefault="001E06ED" w:rsidP="001E06ED">
            <w:pPr>
              <w:pStyle w:val="chartcopy"/>
            </w:pPr>
            <w:r w:rsidRPr="001E06ED">
              <w:t>Terms and groups related to gaining the vote.</w:t>
            </w:r>
          </w:p>
        </w:tc>
        <w:tc>
          <w:tcPr>
            <w:tcW w:w="3780" w:type="dxa"/>
          </w:tcPr>
          <w:p w:rsidR="001E06ED" w:rsidRPr="001E06ED" w:rsidRDefault="001E06ED" w:rsidP="001E06ED">
            <w:pPr>
              <w:pStyle w:val="chartcopy"/>
            </w:pPr>
            <w:r w:rsidRPr="001E06ED">
              <w:t>Men and women related to the struggle for female suffrage in Manitoba</w:t>
            </w:r>
          </w:p>
        </w:tc>
      </w:tr>
      <w:tr w:rsidR="001E06ED">
        <w:trPr>
          <w:trHeight w:val="4454"/>
        </w:trPr>
        <w:tc>
          <w:tcPr>
            <w:tcW w:w="1998" w:type="dxa"/>
            <w:vMerge w:val="restart"/>
          </w:tcPr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Enfranchisement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MLA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Frances Marion Beynon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Rodmond Roblin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Temperance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Suffragist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MP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Legislative Assembly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The House of Commons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Nellie McClung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E. Cora Hind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Senate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Lillian Beynon Thomas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Suffrage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 xml:space="preserve">Senator 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Famous Five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Winona Flett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Henrietta Muir Edwards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The Political Equality League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Emily Murphy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Canadian Supreme Court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Canadian Broadcasting Company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Canadian Women’s Press Club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Louise McKinney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The Persons Case</w:t>
            </w:r>
          </w:p>
          <w:p w:rsidR="001E06ED" w:rsidRPr="000124FE" w:rsidRDefault="001E06ED" w:rsidP="001E06ED">
            <w:pPr>
              <w:pStyle w:val="chartcopy"/>
              <w:rPr>
                <w:b/>
              </w:rPr>
            </w:pPr>
            <w:r w:rsidRPr="000124FE">
              <w:rPr>
                <w:b/>
              </w:rPr>
              <w:t>The Judicial Committee of the British Privy Council</w:t>
            </w:r>
          </w:p>
          <w:p w:rsidR="001E06ED" w:rsidRPr="001E06ED" w:rsidRDefault="001E06ED" w:rsidP="001E06ED">
            <w:pPr>
              <w:pStyle w:val="chartcopy"/>
            </w:pPr>
            <w:r w:rsidRPr="000124FE">
              <w:rPr>
                <w:b/>
              </w:rPr>
              <w:t>W.C.T.U.</w:t>
            </w:r>
          </w:p>
        </w:tc>
        <w:tc>
          <w:tcPr>
            <w:tcW w:w="3690" w:type="dxa"/>
          </w:tcPr>
          <w:p w:rsidR="001E06ED" w:rsidRPr="001E06ED" w:rsidRDefault="001E06ED" w:rsidP="001E06ED">
            <w:pPr>
              <w:pStyle w:val="chartcopy"/>
            </w:pPr>
          </w:p>
        </w:tc>
        <w:tc>
          <w:tcPr>
            <w:tcW w:w="3780" w:type="dxa"/>
          </w:tcPr>
          <w:p w:rsidR="001E06ED" w:rsidRPr="001E06ED" w:rsidRDefault="001E06ED" w:rsidP="001E06ED">
            <w:pPr>
              <w:pStyle w:val="chartcopy"/>
            </w:pPr>
          </w:p>
        </w:tc>
      </w:tr>
      <w:tr w:rsidR="001E06ED">
        <w:tc>
          <w:tcPr>
            <w:tcW w:w="1998" w:type="dxa"/>
            <w:vMerge/>
          </w:tcPr>
          <w:p w:rsidR="001E06ED" w:rsidRPr="001E06ED" w:rsidRDefault="001E06ED" w:rsidP="001E06ED">
            <w:pPr>
              <w:pStyle w:val="chartcopy"/>
            </w:pPr>
          </w:p>
        </w:tc>
        <w:tc>
          <w:tcPr>
            <w:tcW w:w="3690" w:type="dxa"/>
          </w:tcPr>
          <w:p w:rsidR="001E06ED" w:rsidRPr="001E06ED" w:rsidRDefault="001E06ED" w:rsidP="001E06ED">
            <w:pPr>
              <w:pStyle w:val="chartcopy"/>
            </w:pPr>
            <w:r w:rsidRPr="001E06ED">
              <w:t>Terms, people, groups related to Nellie McClung.</w:t>
            </w:r>
          </w:p>
        </w:tc>
        <w:tc>
          <w:tcPr>
            <w:tcW w:w="3780" w:type="dxa"/>
          </w:tcPr>
          <w:p w:rsidR="001E06ED" w:rsidRPr="001E06ED" w:rsidRDefault="001E06ED" w:rsidP="001E06ED">
            <w:pPr>
              <w:pStyle w:val="chartcopy"/>
            </w:pPr>
            <w:r w:rsidRPr="001E06ED">
              <w:t>Terms, groups and people related to the Persons Case.</w:t>
            </w:r>
          </w:p>
        </w:tc>
      </w:tr>
      <w:tr w:rsidR="001E06ED">
        <w:trPr>
          <w:trHeight w:val="5624"/>
        </w:trPr>
        <w:tc>
          <w:tcPr>
            <w:tcW w:w="1998" w:type="dxa"/>
            <w:vMerge/>
          </w:tcPr>
          <w:p w:rsidR="001E06ED" w:rsidRPr="001E06ED" w:rsidRDefault="001E06ED" w:rsidP="001E06ED">
            <w:pPr>
              <w:pStyle w:val="chartcopy"/>
            </w:pPr>
          </w:p>
        </w:tc>
        <w:tc>
          <w:tcPr>
            <w:tcW w:w="3690" w:type="dxa"/>
          </w:tcPr>
          <w:p w:rsidR="001E06ED" w:rsidRPr="001E06ED" w:rsidRDefault="001E06ED" w:rsidP="001E06ED">
            <w:pPr>
              <w:pStyle w:val="chartcopy"/>
            </w:pPr>
          </w:p>
        </w:tc>
        <w:tc>
          <w:tcPr>
            <w:tcW w:w="3780" w:type="dxa"/>
          </w:tcPr>
          <w:p w:rsidR="001E06ED" w:rsidRPr="001E06ED" w:rsidRDefault="001E06ED" w:rsidP="001E06ED">
            <w:pPr>
              <w:pStyle w:val="chartcopy"/>
            </w:pPr>
          </w:p>
        </w:tc>
      </w:tr>
    </w:tbl>
    <w:p w:rsidR="004007AB" w:rsidRPr="003609D1" w:rsidRDefault="004007AB" w:rsidP="007E3C87">
      <w:pPr>
        <w:tabs>
          <w:tab w:val="left" w:pos="0"/>
        </w:tabs>
        <w:spacing w:beforeLines="50"/>
        <w:ind w:left="1" w:hanging="1"/>
        <w:rPr>
          <w:sz w:val="28"/>
        </w:rPr>
      </w:pPr>
    </w:p>
    <w:sectPr w:rsidR="004007AB" w:rsidRPr="003609D1" w:rsidSect="00B600AC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81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E" w:rsidRDefault="000124FE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4FE" w:rsidRDefault="000124FE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E" w:rsidRPr="00CB56D7" w:rsidRDefault="000124FE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0124FE" w:rsidRPr="00A74751" w:rsidRDefault="000124FE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0124FE" w:rsidRPr="00653A5F" w:rsidRDefault="000124FE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0124FE" w:rsidRPr="00653A5F" w:rsidRDefault="000124FE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B600AC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B600AC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E" w:rsidRDefault="000124FE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0124FE" w:rsidRPr="00CB56D7" w:rsidRDefault="000124FE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0124FE" w:rsidRPr="00A74751" w:rsidRDefault="000124FE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0124FE" w:rsidRPr="00653A5F" w:rsidRDefault="000124FE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0124FE" w:rsidRPr="00653A5F" w:rsidRDefault="000124FE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B600AC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B600AC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  <w:p w:rsidR="000124FE" w:rsidRDefault="000124F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E" w:rsidRDefault="000124FE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0124FE" w:rsidRDefault="000124FE" w:rsidP="004007AB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0124FE" w:rsidRPr="00F12FD2" w:rsidRDefault="000124FE" w:rsidP="004007AB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0617F"/>
    <w:multiLevelType w:val="hybridMultilevel"/>
    <w:tmpl w:val="22D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2E1396F"/>
    <w:multiLevelType w:val="hybridMultilevel"/>
    <w:tmpl w:val="1BEE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5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42E4B"/>
    <w:multiLevelType w:val="hybridMultilevel"/>
    <w:tmpl w:val="3FB46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19"/>
  </w:num>
  <w:num w:numId="8">
    <w:abstractNumId w:val="34"/>
  </w:num>
  <w:num w:numId="9">
    <w:abstractNumId w:val="1"/>
  </w:num>
  <w:num w:numId="10">
    <w:abstractNumId w:val="16"/>
  </w:num>
  <w:num w:numId="11">
    <w:abstractNumId w:val="6"/>
  </w:num>
  <w:num w:numId="12">
    <w:abstractNumId w:val="31"/>
  </w:num>
  <w:num w:numId="13">
    <w:abstractNumId w:val="32"/>
  </w:num>
  <w:num w:numId="14">
    <w:abstractNumId w:val="11"/>
  </w:num>
  <w:num w:numId="15">
    <w:abstractNumId w:val="24"/>
  </w:num>
  <w:num w:numId="16">
    <w:abstractNumId w:val="27"/>
  </w:num>
  <w:num w:numId="17">
    <w:abstractNumId w:val="7"/>
  </w:num>
  <w:num w:numId="18">
    <w:abstractNumId w:val="35"/>
  </w:num>
  <w:num w:numId="19">
    <w:abstractNumId w:val="23"/>
  </w:num>
  <w:num w:numId="20">
    <w:abstractNumId w:val="8"/>
  </w:num>
  <w:num w:numId="21">
    <w:abstractNumId w:val="4"/>
  </w:num>
  <w:num w:numId="22">
    <w:abstractNumId w:val="21"/>
  </w:num>
  <w:num w:numId="23">
    <w:abstractNumId w:val="17"/>
  </w:num>
  <w:num w:numId="24">
    <w:abstractNumId w:val="5"/>
  </w:num>
  <w:num w:numId="25">
    <w:abstractNumId w:val="33"/>
  </w:num>
  <w:num w:numId="26">
    <w:abstractNumId w:val="3"/>
  </w:num>
  <w:num w:numId="27">
    <w:abstractNumId w:val="13"/>
  </w:num>
  <w:num w:numId="28">
    <w:abstractNumId w:val="30"/>
  </w:num>
  <w:num w:numId="29">
    <w:abstractNumId w:val="26"/>
  </w:num>
  <w:num w:numId="30">
    <w:abstractNumId w:val="25"/>
  </w:num>
  <w:num w:numId="31">
    <w:abstractNumId w:val="12"/>
  </w:num>
  <w:num w:numId="32">
    <w:abstractNumId w:val="0"/>
  </w:num>
  <w:num w:numId="33">
    <w:abstractNumId w:val="28"/>
  </w:num>
  <w:num w:numId="34">
    <w:abstractNumId w:val="15"/>
  </w:num>
  <w:num w:numId="35">
    <w:abstractNumId w:val="14"/>
  </w:num>
  <w:num w:numId="36">
    <w:abstractNumId w:val="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124FE"/>
    <w:rsid w:val="000B7A6E"/>
    <w:rsid w:val="00122B58"/>
    <w:rsid w:val="00170A76"/>
    <w:rsid w:val="00187FB3"/>
    <w:rsid w:val="001E06ED"/>
    <w:rsid w:val="00210EF3"/>
    <w:rsid w:val="002635C9"/>
    <w:rsid w:val="003270BF"/>
    <w:rsid w:val="003C0E5D"/>
    <w:rsid w:val="004007AB"/>
    <w:rsid w:val="00425EFC"/>
    <w:rsid w:val="0043492B"/>
    <w:rsid w:val="004807F0"/>
    <w:rsid w:val="00481F5A"/>
    <w:rsid w:val="00596E27"/>
    <w:rsid w:val="0064221E"/>
    <w:rsid w:val="00653A5F"/>
    <w:rsid w:val="006B0F09"/>
    <w:rsid w:val="006C4420"/>
    <w:rsid w:val="007220D3"/>
    <w:rsid w:val="007C47D3"/>
    <w:rsid w:val="007C7C2E"/>
    <w:rsid w:val="007E3C87"/>
    <w:rsid w:val="0080120F"/>
    <w:rsid w:val="008F28D1"/>
    <w:rsid w:val="00944C9F"/>
    <w:rsid w:val="009F4BC7"/>
    <w:rsid w:val="00A74751"/>
    <w:rsid w:val="00AF6860"/>
    <w:rsid w:val="00B600AC"/>
    <w:rsid w:val="00BA7C9C"/>
    <w:rsid w:val="00BC58E5"/>
    <w:rsid w:val="00CB56D7"/>
    <w:rsid w:val="00D07680"/>
    <w:rsid w:val="00D208DB"/>
    <w:rsid w:val="00D2613D"/>
    <w:rsid w:val="00DB6107"/>
    <w:rsid w:val="00DB6209"/>
    <w:rsid w:val="00E15B3B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tcopy">
    <w:name w:val="chart copy"/>
    <w:basedOn w:val="Normal"/>
    <w:qFormat/>
    <w:rsid w:val="001E06ED"/>
    <w:pPr>
      <w:spacing w:after="40" w:line="240" w:lineRule="exact"/>
    </w:pPr>
    <w:rPr>
      <w:sz w:val="20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2938</Characters>
  <Application>Microsoft Macintosh Word</Application>
  <DocSecurity>0</DocSecurity>
  <Lines>24</Lines>
  <Paragraphs>5</Paragraphs>
  <ScaleCrop>false</ScaleCrop>
  <Company>Blindside Creative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5</cp:revision>
  <dcterms:created xsi:type="dcterms:W3CDTF">2015-01-06T15:30:00Z</dcterms:created>
  <dcterms:modified xsi:type="dcterms:W3CDTF">2015-01-06T15:33:00Z</dcterms:modified>
</cp:coreProperties>
</file>