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0" w:rsidRDefault="008818E0" w:rsidP="008818E0">
      <w:pPr>
        <w:pStyle w:val="Heading1"/>
      </w:pPr>
      <w:r>
        <w:t>How to Use The</w:t>
      </w:r>
      <w:bookmarkStart w:id="0" w:name="_GoBack"/>
      <w:bookmarkEnd w:id="0"/>
      <w:r>
        <w:t>se Strategies &amp; Materials</w:t>
      </w:r>
    </w:p>
    <w:p w:rsidR="008818E0" w:rsidRDefault="008818E0" w:rsidP="008818E0"/>
    <w:p w:rsidR="008818E0" w:rsidRDefault="008818E0" w:rsidP="008818E0">
      <w:pPr>
        <w:pStyle w:val="Heading2"/>
      </w:pPr>
      <w:r w:rsidRPr="00344F49">
        <w:t>Topic</w:t>
      </w:r>
    </w:p>
    <w:p w:rsidR="008818E0" w:rsidRPr="00344F49" w:rsidRDefault="008818E0" w:rsidP="008818E0">
      <w:r w:rsidRPr="00344F49">
        <w:t>The struggle to gain the vote for women in Manitoba, the Persons Case, the achievements of Nellie McClung with references to other significant people in the struggle for women’s rights.</w:t>
      </w:r>
    </w:p>
    <w:p w:rsidR="008818E0" w:rsidRDefault="008818E0" w:rsidP="008818E0">
      <w:pPr>
        <w:pStyle w:val="Heading2"/>
      </w:pPr>
      <w:r w:rsidRPr="00344F49">
        <w:t>Grade 9 Materials</w:t>
      </w:r>
    </w:p>
    <w:p w:rsidR="008818E0" w:rsidRPr="00344F49" w:rsidRDefault="008818E0" w:rsidP="008818E0">
      <w:r w:rsidRPr="00344F49">
        <w:t>Important People and Events in the Struggle for Rights in Canada</w:t>
      </w:r>
      <w:r>
        <w:t xml:space="preserve"> - </w:t>
      </w:r>
      <w:r w:rsidRPr="00344F49">
        <w:t>9.1.2 Human Rights (Manitoba Curriculum)</w:t>
      </w:r>
    </w:p>
    <w:p w:rsidR="008818E0" w:rsidRPr="00344F49" w:rsidRDefault="008818E0" w:rsidP="008818E0">
      <w:r w:rsidRPr="00344F49">
        <w:t xml:space="preserve">The material </w:t>
      </w:r>
      <w:proofErr w:type="gramStart"/>
      <w:r w:rsidRPr="00344F49">
        <w:t>is meant to be used</w:t>
      </w:r>
      <w:proofErr w:type="gramEnd"/>
      <w:r w:rsidRPr="00344F49">
        <w:t xml:space="preserve"> after the outcome: KC</w:t>
      </w:r>
      <w:r w:rsidRPr="00344F49">
        <w:rPr>
          <w:rFonts w:ascii="Adobe Devanagari" w:hAnsi="Adobe Devanagari" w:cs="Adobe Devanagari"/>
        </w:rPr>
        <w:t>‐</w:t>
      </w:r>
      <w:r w:rsidRPr="00344F49">
        <w:t>001 Give examples of human rights as</w:t>
      </w:r>
      <w:r>
        <w:t xml:space="preserve"> </w:t>
      </w:r>
      <w:r w:rsidRPr="00344F49">
        <w:t>defined in the United Nations Universal Declaration of Human Rights. Include: basic,</w:t>
      </w:r>
      <w:r>
        <w:t xml:space="preserve"> </w:t>
      </w:r>
      <w:r w:rsidRPr="00344F49">
        <w:t>citizenship, and legal rights.</w:t>
      </w:r>
    </w:p>
    <w:p w:rsidR="008818E0" w:rsidRPr="00344F49" w:rsidRDefault="008818E0" w:rsidP="008818E0">
      <w:r w:rsidRPr="00344F49">
        <w:t>The material f</w:t>
      </w:r>
      <w:r>
        <w:t>ound here with its emphasis on:</w:t>
      </w:r>
    </w:p>
    <w:p w:rsidR="008818E0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The struggle for the vote for women in Manitoba and the part played by Nellie McClung and</w:t>
      </w:r>
      <w:r>
        <w:t xml:space="preserve"> t</w:t>
      </w:r>
      <w:r w:rsidRPr="00344F49">
        <w:t>he other suffragists in Manitoba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>
        <w:t>T</w:t>
      </w:r>
      <w:r w:rsidRPr="00344F49">
        <w:t>he Famous Five’s challenge to have women in Canada declared “Persons”</w:t>
      </w:r>
    </w:p>
    <w:p w:rsidR="008818E0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References to firsts achieved by women such as the first female member of Parliament and</w:t>
      </w:r>
      <w:r>
        <w:t xml:space="preserve"> </w:t>
      </w:r>
      <w:r w:rsidRPr="00344F49">
        <w:t xml:space="preserve">the first female MLA in Manitoba </w:t>
      </w:r>
      <w:r w:rsidRPr="00344F49">
        <w:rPr>
          <w:rFonts w:ascii="Adobe Devanagari" w:hAnsi="Adobe Devanagari" w:cs="Adobe Devanagari"/>
        </w:rPr>
        <w:t>‐</w:t>
      </w:r>
      <w:r w:rsidRPr="00344F49">
        <w:t xml:space="preserve"> meant to assist students and teachers as they address the</w:t>
      </w:r>
      <w:r>
        <w:t xml:space="preserve"> </w:t>
      </w:r>
      <w:r w:rsidRPr="00344F49">
        <w:t>outcomes: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Describe contributions of Canadians whose social and political actions have promoted</w:t>
      </w:r>
      <w:r>
        <w:t xml:space="preserve"> </w:t>
      </w:r>
      <w:r w:rsidRPr="00344F49">
        <w:t>human rights. (KC</w:t>
      </w:r>
      <w:r w:rsidRPr="00344F49">
        <w:rPr>
          <w:rFonts w:ascii="Adobe Devanagari" w:hAnsi="Adobe Devanagari" w:cs="Adobe Devanagari"/>
        </w:rPr>
        <w:t>‐</w:t>
      </w:r>
      <w:r w:rsidRPr="00344F49">
        <w:t>004)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Identify significant events in the development of human rights in Canada (KH</w:t>
      </w:r>
      <w:r w:rsidRPr="00344F49">
        <w:rPr>
          <w:rFonts w:ascii="Adobe Devanagari" w:hAnsi="Adobe Devanagari" w:cs="Adobe Devanagari"/>
        </w:rPr>
        <w:t>‐</w:t>
      </w:r>
      <w:r w:rsidRPr="00344F49">
        <w:t>031)</w:t>
      </w:r>
      <w:r>
        <w:t>.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Describe ways in which the status of women in Canada has changed since the early 20</w:t>
      </w:r>
      <w:r w:rsidRPr="00344F49">
        <w:rPr>
          <w:vertAlign w:val="superscript"/>
        </w:rPr>
        <w:t>th</w:t>
      </w:r>
      <w:r>
        <w:t xml:space="preserve"> </w:t>
      </w:r>
      <w:r w:rsidRPr="00344F49">
        <w:t>century, including suffrage (KH</w:t>
      </w:r>
      <w:r w:rsidRPr="00344F49">
        <w:rPr>
          <w:rFonts w:ascii="Adobe Devanagari" w:hAnsi="Adobe Devanagari" w:cs="Adobe Devanagari"/>
        </w:rPr>
        <w:t>‐</w:t>
      </w:r>
      <w:r w:rsidRPr="00344F49">
        <w:t>032)</w:t>
      </w:r>
      <w:r>
        <w:t>.</w:t>
      </w:r>
    </w:p>
    <w:p w:rsidR="008818E0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Appreciate the efforts of Canadians who have helped to promote human rights (VH</w:t>
      </w:r>
      <w:r w:rsidRPr="00344F49">
        <w:rPr>
          <w:rFonts w:ascii="Adobe Devanagari" w:hAnsi="Adobe Devanagari" w:cs="Adobe Devanagari"/>
        </w:rPr>
        <w:t>‐</w:t>
      </w:r>
      <w:r w:rsidRPr="00344F49">
        <w:t>008)</w:t>
      </w:r>
      <w:r>
        <w:t>.</w:t>
      </w:r>
    </w:p>
    <w:p w:rsidR="008818E0" w:rsidRPr="00344F49" w:rsidRDefault="008818E0" w:rsidP="008818E0">
      <w:r>
        <w:br w:type="page"/>
      </w:r>
      <w:r w:rsidRPr="00344F49">
        <w:t>The study tools and supports include: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A short biography of Nellie McClung highlighting the struggle for enfranchisement of women</w:t>
      </w:r>
      <w:r>
        <w:t xml:space="preserve"> </w:t>
      </w:r>
      <w:r w:rsidRPr="00344F49">
        <w:t>in Manitou in 1916, and the struggle to have women declared persons under Canadian law in</w:t>
      </w:r>
      <w:r>
        <w:t xml:space="preserve"> </w:t>
      </w:r>
      <w:r w:rsidRPr="00344F49">
        <w:t>1929.</w:t>
      </w:r>
      <w:r>
        <w:t xml:space="preserve"> (</w:t>
      </w:r>
      <w:r w:rsidRPr="00344F49">
        <w:t>Please note that another biography of McClung written at approximately a Grade 6 level is</w:t>
      </w:r>
      <w:r>
        <w:t xml:space="preserve"> </w:t>
      </w:r>
      <w:r w:rsidRPr="00344F49">
        <w:t>included among the Grade 6 lessons.</w:t>
      </w:r>
      <w:r>
        <w:t>)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A list of people who had a role in these early struggles with individual brief biographies.</w:t>
      </w:r>
    </w:p>
    <w:p w:rsidR="008818E0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A glossary of terms, organizations and groups connected to the struggle for equality for</w:t>
      </w:r>
      <w:r>
        <w:t xml:space="preserve"> </w:t>
      </w:r>
      <w:r w:rsidRPr="00344F49">
        <w:t>women</w:t>
      </w:r>
      <w:r>
        <w:t>—</w:t>
      </w:r>
      <w:r w:rsidRPr="00344F49">
        <w:t>and for others</w:t>
      </w:r>
      <w:r>
        <w:t>—</w:t>
      </w:r>
      <w:r w:rsidRPr="00344F49">
        <w:t>in the first half of the 20th century.</w:t>
      </w:r>
    </w:p>
    <w:p w:rsidR="008818E0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A chronological list of significant events in the struggle for women’s rights in the first half of</w:t>
      </w:r>
      <w:r>
        <w:t xml:space="preserve"> </w:t>
      </w:r>
      <w:r w:rsidRPr="00344F49">
        <w:t>the 20</w:t>
      </w:r>
      <w:r w:rsidRPr="008B1F93">
        <w:rPr>
          <w:vertAlign w:val="superscript"/>
        </w:rPr>
        <w:t>th</w:t>
      </w:r>
      <w:r>
        <w:t xml:space="preserve"> </w:t>
      </w:r>
      <w:r w:rsidRPr="00344F49">
        <w:t>century.</w:t>
      </w:r>
    </w:p>
    <w:p w:rsidR="008818E0" w:rsidRPr="00344F49" w:rsidRDefault="008818E0" w:rsidP="008818E0">
      <w:pPr>
        <w:pStyle w:val="ListParagraph"/>
        <w:numPr>
          <w:ilvl w:val="1"/>
          <w:numId w:val="28"/>
        </w:numPr>
        <w:spacing w:after="200" w:line="276" w:lineRule="auto"/>
      </w:pPr>
      <w:r w:rsidRPr="00344F49">
        <w:t>Several teaching and learning strategies including:</w:t>
      </w:r>
    </w:p>
    <w:p w:rsidR="008818E0" w:rsidRPr="00344F49" w:rsidRDefault="008818E0" w:rsidP="008818E0">
      <w:pPr>
        <w:pStyle w:val="ListParagraph"/>
        <w:numPr>
          <w:ilvl w:val="2"/>
          <w:numId w:val="28"/>
        </w:numPr>
        <w:spacing w:after="200" w:line="276" w:lineRule="auto"/>
      </w:pPr>
      <w:r w:rsidRPr="00344F49">
        <w:t>Sort and Predict</w:t>
      </w:r>
    </w:p>
    <w:p w:rsidR="008818E0" w:rsidRPr="00344F49" w:rsidRDefault="008818E0" w:rsidP="008818E0">
      <w:pPr>
        <w:pStyle w:val="ListParagraph"/>
        <w:numPr>
          <w:ilvl w:val="2"/>
          <w:numId w:val="28"/>
        </w:numPr>
        <w:spacing w:after="200" w:line="276" w:lineRule="auto"/>
      </w:pPr>
      <w:r w:rsidRPr="00344F49">
        <w:t xml:space="preserve">“I have </w:t>
      </w:r>
      <w:r w:rsidRPr="00344F49">
        <w:rPr>
          <w:rFonts w:ascii="Adobe Devanagari" w:hAnsi="Adobe Devanagari" w:cs="Adobe Devanagari"/>
        </w:rPr>
        <w:t>‐</w:t>
      </w:r>
      <w:r w:rsidRPr="00344F49">
        <w:t xml:space="preserve"> Who Has”</w:t>
      </w:r>
    </w:p>
    <w:p w:rsidR="00187FB3" w:rsidRPr="008818E0" w:rsidRDefault="00187FB3" w:rsidP="008818E0"/>
    <w:sectPr w:rsidR="00187FB3" w:rsidRPr="008818E0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9B68E5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9B68E5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8818E0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8818E0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9B68E5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8818E0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8818E0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F12FD2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F12FD2" w:rsidRDefault="00F12FD2" w:rsidP="00F12FD2">
                <w:pPr>
                  <w:pStyle w:val="Heading2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9 Social Studies</w:t>
                </w:r>
              </w:p>
              <w:p w:rsidR="00F12FD2" w:rsidRPr="00F12FD2" w:rsidRDefault="00F12FD2" w:rsidP="00F12FD2">
                <w:pPr>
                  <w:pStyle w:val="Heading2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BC6AD8"/>
    <w:multiLevelType w:val="hybridMultilevel"/>
    <w:tmpl w:val="80C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4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72D38"/>
    <w:multiLevelType w:val="hybridMultilevel"/>
    <w:tmpl w:val="DC7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B1DA2"/>
    <w:multiLevelType w:val="hybridMultilevel"/>
    <w:tmpl w:val="0BB2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9"/>
  </w:num>
  <w:num w:numId="5">
    <w:abstractNumId w:val="19"/>
  </w:num>
  <w:num w:numId="6">
    <w:abstractNumId w:val="17"/>
  </w:num>
  <w:num w:numId="7">
    <w:abstractNumId w:val="18"/>
  </w:num>
  <w:num w:numId="8">
    <w:abstractNumId w:val="35"/>
  </w:num>
  <w:num w:numId="9">
    <w:abstractNumId w:val="1"/>
  </w:num>
  <w:num w:numId="10">
    <w:abstractNumId w:val="14"/>
  </w:num>
  <w:num w:numId="11">
    <w:abstractNumId w:val="6"/>
  </w:num>
  <w:num w:numId="12">
    <w:abstractNumId w:val="30"/>
  </w:num>
  <w:num w:numId="13">
    <w:abstractNumId w:val="33"/>
  </w:num>
  <w:num w:numId="14">
    <w:abstractNumId w:val="10"/>
  </w:num>
  <w:num w:numId="15">
    <w:abstractNumId w:val="23"/>
  </w:num>
  <w:num w:numId="16">
    <w:abstractNumId w:val="26"/>
  </w:num>
  <w:num w:numId="17">
    <w:abstractNumId w:val="7"/>
  </w:num>
  <w:num w:numId="18">
    <w:abstractNumId w:val="36"/>
  </w:num>
  <w:num w:numId="19">
    <w:abstractNumId w:val="22"/>
  </w:num>
  <w:num w:numId="20">
    <w:abstractNumId w:val="8"/>
  </w:num>
  <w:num w:numId="21">
    <w:abstractNumId w:val="4"/>
  </w:num>
  <w:num w:numId="22">
    <w:abstractNumId w:val="20"/>
  </w:num>
  <w:num w:numId="23">
    <w:abstractNumId w:val="15"/>
  </w:num>
  <w:num w:numId="24">
    <w:abstractNumId w:val="5"/>
  </w:num>
  <w:num w:numId="25">
    <w:abstractNumId w:val="34"/>
  </w:num>
  <w:num w:numId="26">
    <w:abstractNumId w:val="3"/>
  </w:num>
  <w:num w:numId="27">
    <w:abstractNumId w:val="12"/>
  </w:num>
  <w:num w:numId="28">
    <w:abstractNumId w:val="29"/>
  </w:num>
  <w:num w:numId="29">
    <w:abstractNumId w:val="25"/>
  </w:num>
  <w:num w:numId="30">
    <w:abstractNumId w:val="24"/>
  </w:num>
  <w:num w:numId="31">
    <w:abstractNumId w:val="11"/>
  </w:num>
  <w:num w:numId="32">
    <w:abstractNumId w:val="0"/>
  </w:num>
  <w:num w:numId="33">
    <w:abstractNumId w:val="27"/>
  </w:num>
  <w:num w:numId="34">
    <w:abstractNumId w:val="13"/>
  </w:num>
  <w:num w:numId="35">
    <w:abstractNumId w:val="16"/>
  </w:num>
  <w:num w:numId="36">
    <w:abstractNumId w:val="3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122B58"/>
    <w:rsid w:val="00170A76"/>
    <w:rsid w:val="00187FB3"/>
    <w:rsid w:val="00210EF3"/>
    <w:rsid w:val="002635C9"/>
    <w:rsid w:val="003270BF"/>
    <w:rsid w:val="003C0E5D"/>
    <w:rsid w:val="00425EFC"/>
    <w:rsid w:val="0043492B"/>
    <w:rsid w:val="004807F0"/>
    <w:rsid w:val="00481F5A"/>
    <w:rsid w:val="00596E27"/>
    <w:rsid w:val="0064221E"/>
    <w:rsid w:val="00653A5F"/>
    <w:rsid w:val="006C4420"/>
    <w:rsid w:val="006F61BD"/>
    <w:rsid w:val="007220D3"/>
    <w:rsid w:val="007B04E6"/>
    <w:rsid w:val="007C7C2E"/>
    <w:rsid w:val="0080120F"/>
    <w:rsid w:val="008818E0"/>
    <w:rsid w:val="008F28D1"/>
    <w:rsid w:val="009B68E5"/>
    <w:rsid w:val="009F4BC7"/>
    <w:rsid w:val="00A74751"/>
    <w:rsid w:val="00AF6860"/>
    <w:rsid w:val="00BD0EAB"/>
    <w:rsid w:val="00CB56D7"/>
    <w:rsid w:val="00D07680"/>
    <w:rsid w:val="00D208DB"/>
    <w:rsid w:val="00D2613D"/>
    <w:rsid w:val="00DB6107"/>
    <w:rsid w:val="00DB6209"/>
    <w:rsid w:val="00E21A82"/>
    <w:rsid w:val="00EE61E5"/>
    <w:rsid w:val="00F12FD2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 w:qFormat="1"/>
    <w:lsdException w:name="header" w:uiPriority="99"/>
    <w:lsdException w:name="footer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smallerlinespacing">
    <w:name w:val="body - smaller line spacing"/>
    <w:qFormat/>
    <w:rsid w:val="007B04E6"/>
    <w:pPr>
      <w:spacing w:line="280" w:lineRule="exact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BD0EA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Macintosh Word</Application>
  <DocSecurity>0</DocSecurity>
  <Lines>15</Lines>
  <Paragraphs>3</Paragraphs>
  <ScaleCrop>false</ScaleCrop>
  <Company>Blindside Creative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2</cp:revision>
  <dcterms:created xsi:type="dcterms:W3CDTF">2015-01-05T22:27:00Z</dcterms:created>
  <dcterms:modified xsi:type="dcterms:W3CDTF">2015-01-05T22:27:00Z</dcterms:modified>
</cp:coreProperties>
</file>